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2B5" w14:textId="1BE6CD46" w:rsidR="00693A66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b/>
          <w:color w:val="333333"/>
          <w:sz w:val="26"/>
          <w:szCs w:val="26"/>
          <w:lang w:eastAsia="hu-HU"/>
        </w:rPr>
      </w:pPr>
      <w:r w:rsidRPr="008E6CD8">
        <w:rPr>
          <w:rFonts w:ascii="Open Sans" w:eastAsia="Times New Roman" w:hAnsi="Open Sans" w:cs="Open Sans"/>
          <w:b/>
          <w:color w:val="333333"/>
          <w:sz w:val="26"/>
          <w:szCs w:val="26"/>
          <w:lang w:eastAsia="hu-HU"/>
        </w:rPr>
        <w:t>USED OIL COLLECTORS AT SEVERAL INSTITUTIONS OF THE UP</w:t>
      </w:r>
    </w:p>
    <w:p w14:paraId="005DA9C3" w14:textId="24463B37" w:rsidR="00693A66" w:rsidRPr="008E6CD8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b/>
          <w:color w:val="333333"/>
          <w:sz w:val="26"/>
          <w:szCs w:val="26"/>
          <w:lang w:eastAsia="hu-HU"/>
        </w:rPr>
      </w:pPr>
      <w:r w:rsidRPr="000762AC">
        <w:rPr>
          <w:rFonts w:ascii="inherit" w:eastAsia="Times New Roman" w:hAnsi="inherit" w:cs="Times New Roman"/>
          <w:noProof/>
          <w:sz w:val="26"/>
          <w:szCs w:val="26"/>
          <w:lang w:eastAsia="hu-HU"/>
        </w:rPr>
        <w:drawing>
          <wp:inline distT="0" distB="0" distL="0" distR="0" wp14:anchorId="355A6840" wp14:editId="779FC686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6877" w14:textId="77777777" w:rsidR="00693A66" w:rsidRPr="008E6CD8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Several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such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Affiliated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Babits Mihály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School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kindergarten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have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also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installed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</w:t>
      </w:r>
      <w:proofErr w:type="gram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cooking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which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aims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protect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environment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recycle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0113677D" w14:textId="77777777" w:rsidR="00693A66" w:rsidRPr="008E6CD8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UP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Affiliated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Babits Mihály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School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is an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eco-school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is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therefore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committed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sustainability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global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responsibility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education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this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spirit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new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element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environmental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education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program has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recently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added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: a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collection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point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cooking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up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near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entrance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school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support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NotADrop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! A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similar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container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was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placed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western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entrance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kindergarten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also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run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UP.</w:t>
      </w:r>
    </w:p>
    <w:p w14:paraId="6075DA1C" w14:textId="77777777" w:rsidR="00693A66" w:rsidRPr="008E6CD8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highly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polluting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carcinogenic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toxic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once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out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household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causes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huge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damage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needs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treated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same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way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plastic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batteries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243D4AC0" w14:textId="77777777" w:rsidR="00693A66" w:rsidRPr="008E6CD8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lastRenderedPageBreak/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household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grease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placed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collection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container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original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packaging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PET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bottles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jars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without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dropping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company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will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clean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recycle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after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disposal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The Babits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School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will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receive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token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amount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money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which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will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further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sustainability-related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programs.</w:t>
      </w:r>
    </w:p>
    <w:p w14:paraId="5E69803D" w14:textId="77777777" w:rsidR="00693A66" w:rsidRPr="008E6CD8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Babits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School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asks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everyone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not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pour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oil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home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down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drain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but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join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their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initiative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reduce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impact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environment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collector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used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not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only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their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families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but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also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by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all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citizens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Pécs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are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committed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nature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106991DC" w14:textId="77777777" w:rsidR="00693A66" w:rsidRPr="000762AC" w:rsidRDefault="00693A66" w:rsidP="00693A66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initiative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also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fits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Green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University Program of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UP,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which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plans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open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collection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points</w:t>
      </w:r>
      <w:proofErr w:type="spellEnd"/>
      <w:r w:rsidRPr="008E6CD8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1D1FA177" w14:textId="77777777" w:rsidR="00DC2DC4" w:rsidRDefault="00DC2DC4"/>
    <w:sectPr w:rsidR="00DC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66"/>
    <w:rsid w:val="00693A66"/>
    <w:rsid w:val="00D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4C5E"/>
  <w15:chartTrackingRefBased/>
  <w15:docId w15:val="{C4012E06-E4D1-4292-AB1A-5DC54DE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A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2022-10-26T09:27:00Z</dcterms:created>
  <dcterms:modified xsi:type="dcterms:W3CDTF">2022-10-26T09:27:00Z</dcterms:modified>
</cp:coreProperties>
</file>