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7A37B" w14:textId="77777777" w:rsidR="001A712E" w:rsidRDefault="001A712E" w:rsidP="001A712E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A712E" w14:paraId="62F30CE8" w14:textId="77777777" w:rsidTr="001A712E">
        <w:trPr>
          <w:tblCellSpacing w:w="0" w:type="dxa"/>
          <w:jc w:val="center"/>
        </w:trPr>
        <w:tc>
          <w:tcPr>
            <w:tcW w:w="5000" w:type="pct"/>
            <w:shd w:val="clear" w:color="auto" w:fill="F8F8F8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A712E" w14:paraId="4A9A045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1A712E" w14:paraId="0DE8BB8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CD76274" w14:textId="2E7A1F14" w:rsidR="001A712E" w:rsidRDefault="001A712E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EC660D"/>
                          </w:rPr>
                          <w:drawing>
                            <wp:inline distT="0" distB="0" distL="0" distR="0" wp14:anchorId="6967A461" wp14:editId="10DAA1B4">
                              <wp:extent cx="2905125" cy="942975"/>
                              <wp:effectExtent l="0" t="0" r="9525" b="9525"/>
                              <wp:docPr id="12" name="Kép 12" descr="PFZ">
                                <a:hlinkClick xmlns:a="http://schemas.openxmlformats.org/drawingml/2006/main" r:id="rId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1" descr="PFZ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05125" cy="942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A712E" w14:paraId="25CBDA8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346F1D82" w14:textId="77777777" w:rsidR="001A712E" w:rsidRDefault="001A712E">
                        <w:pPr>
                          <w:jc w:val="right"/>
                          <w:rPr>
                            <w:rFonts w:ascii="Verdana" w:hAnsi="Verdana"/>
                            <w:i/>
                            <w:iCs/>
                            <w:color w:val="776F6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i/>
                            <w:iCs/>
                            <w:color w:val="776F6C"/>
                            <w:sz w:val="17"/>
                            <w:szCs w:val="17"/>
                          </w:rPr>
                          <w:t>HÍRLEVÉL | 2020-09-10</w:t>
                        </w:r>
                      </w:p>
                    </w:tc>
                  </w:tr>
                </w:tbl>
                <w:p w14:paraId="188BE9EE" w14:textId="77777777" w:rsidR="001A712E" w:rsidRDefault="001A712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A712E" w14:paraId="745412F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A712E" w14:paraId="1BAD6E9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1A62068" w14:textId="638DA700" w:rsidR="001A712E" w:rsidRDefault="001A712E">
                        <w:pPr>
                          <w:spacing w:after="240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EC660D"/>
                          </w:rPr>
                          <w:drawing>
                            <wp:inline distT="0" distB="0" distL="0" distR="0" wp14:anchorId="481A0EFB" wp14:editId="7EF6F7CE">
                              <wp:extent cx="5715000" cy="2114550"/>
                              <wp:effectExtent l="0" t="0" r="0" b="0"/>
                              <wp:docPr id="11" name="Kép 11" descr="A Pannon Filharmonikusokat élő koncertközvetítései révén már ma este az otthonában hallgathatja, láthatja - külföldön is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2" descr="A Pannon Filharmonikusokat élő koncertközvetítései révén már ma este az otthonában hallgathatja, láthatja - külföldön i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r:link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2114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5000" w:type="pct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6"/>
                          <w:gridCol w:w="7968"/>
                          <w:gridCol w:w="516"/>
                        </w:tblGrid>
                        <w:tr w:rsidR="001A712E" w14:paraId="1ADD38B6" w14:textId="77777777">
                          <w:trPr>
                            <w:tblCellSpacing w:w="22" w:type="dxa"/>
                          </w:trPr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D35E73C" w14:textId="77777777" w:rsidR="001A712E" w:rsidRDefault="001A712E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07F4BE25" w14:textId="77777777" w:rsidR="001A712E" w:rsidRDefault="001A712E">
                              <w:pPr>
                                <w:pStyle w:val="Cmsor2"/>
                                <w:spacing w:after="225" w:afterAutospacing="0"/>
                                <w:rPr>
                                  <w:rFonts w:ascii="Verdana" w:eastAsia="Times New Roman" w:hAnsi="Verdana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</w:rPr>
                                <w:t>A Pannon Filharmonikusokat élő koncertközvetítései révén már ma este az otthonában hallgathatja, láthatja - külföldön is</w:t>
                              </w:r>
                            </w:p>
                            <w:p w14:paraId="532F40A5" w14:textId="77777777" w:rsidR="001A712E" w:rsidRDefault="001A712E">
                              <w:pPr>
                                <w:pStyle w:val="NormlWeb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Kiemels2"/>
                                  <w:rFonts w:ascii="Verdana" w:hAnsi="Verdana"/>
                                  <w:sz w:val="20"/>
                                  <w:szCs w:val="20"/>
                                </w:rPr>
                                <w:t>Kedves Közönségünk! Ha még nincs programjuk estére, egy hangversenyt ajánlunk Önöknek!</w:t>
                              </w:r>
                            </w:p>
                            <w:p w14:paraId="56CFE46A" w14:textId="77777777" w:rsidR="001A712E" w:rsidRDefault="001A712E">
                              <w:pPr>
                                <w:pStyle w:val="NormlWeb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Produkcióink a bátor műsorpolitikáról, kiváló vendégművészekről és a magas színvonalukról híresek, melyek előadása lélekkel teli muzsikálással és a közös zenei élmény örömével párosul. A valós időben, élőben, otthonról megtekinthető zenei közvetítés lehetőségét kínáljuk most Önöknek. A moziélményt ígérő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stream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felvétel és a professzionális hangtechnika lehetővé teszi, hogy otthonról, online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megmerítkezzünk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a Kodály Központ páratlan atmoszférájában és akusztikájában.</w:t>
                              </w:r>
                            </w:p>
                            <w:p w14:paraId="007A949F" w14:textId="77777777" w:rsidR="001A712E" w:rsidRDefault="001A712E">
                              <w:pPr>
                                <w:pStyle w:val="NormlWeb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Először a Pannon Filharmonikusok évadnyitó koncertje lesz látható ma este, szeptember 10-én, 19.00 órai kezdettel a pécsi Kodály Központ hangversenyterméből </w:t>
                              </w:r>
                              <w:r>
                                <w:rPr>
                                  <w:rStyle w:val="Kiemels2"/>
                                  <w:rFonts w:ascii="Verdana" w:hAnsi="Verdana"/>
                                  <w:sz w:val="20"/>
                                  <w:szCs w:val="20"/>
                                </w:rPr>
                                <w:t>A különbözőség harmóniája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címmel. Közreműködik a világ legnagyobb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színpadain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elismert Balog József zongoraművész, vezényel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Bogányi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Tibor vezető karmester. </w:t>
                              </w:r>
                              <w:hyperlink r:id="rId10" w:history="1">
                                <w:r>
                                  <w:rPr>
                                    <w:rStyle w:val="Hiperhivatkozs"/>
                                    <w:rFonts w:ascii="Verdana" w:hAnsi="Verdana"/>
                                    <w:sz w:val="20"/>
                                    <w:szCs w:val="20"/>
                                  </w:rPr>
                                  <w:t>ITT tájékozódhatnak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a hangversenyről.</w:t>
                              </w:r>
                            </w:p>
                            <w:p w14:paraId="79A450A1" w14:textId="77777777" w:rsidR="001A712E" w:rsidRDefault="001A712E">
                              <w:pPr>
                                <w:pStyle w:val="NormlWeb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Majd  a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Bécsi barátok című hangversenyünk lesz látható szeptember 19-én 18.00 órakor. A legkiválóbb zenekarokkal, a világ leghíresebb hangversenytermeiben is fellépő Baráth Emőke szoprán lép fel, a zenekart Vass András állandó karmester vezényli. További részleteket </w:t>
                              </w:r>
                              <w:hyperlink r:id="rId11" w:history="1">
                                <w:r>
                                  <w:rPr>
                                    <w:rStyle w:val="Hiperhivatkozs"/>
                                    <w:rFonts w:ascii="Verdana" w:hAnsi="Verdana"/>
                                    <w:sz w:val="20"/>
                                    <w:szCs w:val="20"/>
                                  </w:rPr>
                                  <w:t>ITT olvashatnak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. </w:t>
                              </w:r>
                            </w:p>
                            <w:p w14:paraId="2FB62B86" w14:textId="77777777" w:rsidR="001A712E" w:rsidRDefault="001A712E">
                              <w:pPr>
                                <w:pStyle w:val="NormlWeb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A jegyváltás hasonló bármely internetes vásárláshoz, csak egyszer kell regisztrálnunk és bankkártyával fizethetünk, a visszaigazoló emailben találják a linket, amire kattintva el tudják kezdeni nézni a koncertet. Érdemes ezeket időben elvégezni, hogy nyugodtan várhassuk az előadás kezdetét. A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lastRenderedPageBreak/>
                                <w:t>szeptember 10-ei közvetítés 19.00 órakor kezdődik, a hangverseny kezdésében azonban pár perc eltérés lehet.</w:t>
                              </w:r>
                            </w:p>
                            <w:p w14:paraId="7AB07C6F" w14:textId="77777777" w:rsidR="001A712E" w:rsidRDefault="001A712E">
                              <w:pPr>
                                <w:pStyle w:val="NormlWeb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KATTINTSON MOST és LEGYEN VELÜNK ÉLŐBEN - bármilyen eszközről!</w:t>
                              </w:r>
                            </w:p>
                            <w:p w14:paraId="5FA29679" w14:textId="67AD8C21" w:rsidR="001A712E" w:rsidRDefault="001A712E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color w:val="EC660D"/>
                                </w:rPr>
                                <w:drawing>
                                  <wp:inline distT="0" distB="0" distL="0" distR="0" wp14:anchorId="2ABD82AF" wp14:editId="28B29FEA">
                                    <wp:extent cx="723900" cy="228600"/>
                                    <wp:effectExtent l="0" t="0" r="0" b="0"/>
                                    <wp:docPr id="10" name="Kép 10" descr="Bővebben">
                                      <a:hlinkClick xmlns:a="http://schemas.openxmlformats.org/drawingml/2006/main" r:id="rId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Kép 3" descr="Bővebbe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r:link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39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B738C60" w14:textId="77777777" w:rsidR="001A712E" w:rsidRDefault="001A712E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14:paraId="33D55F15" w14:textId="77777777" w:rsidR="001A712E" w:rsidRDefault="001A712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A712E" w14:paraId="1B624AA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7794989" w14:textId="5EDE3958" w:rsidR="001A712E" w:rsidRDefault="001A712E">
                        <w:pPr>
                          <w:spacing w:after="240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EC660D"/>
                          </w:rPr>
                          <w:lastRenderedPageBreak/>
                          <w:drawing>
                            <wp:inline distT="0" distB="0" distL="0" distR="0" wp14:anchorId="434B42B3" wp14:editId="19BF66FA">
                              <wp:extent cx="5715000" cy="2114550"/>
                              <wp:effectExtent l="0" t="0" r="0" b="0"/>
                              <wp:docPr id="9" name="Kép 9" descr="A Pannon Filharmonikusok sajtótájékoztató keretében nyitotta meg a 2020/21-es évadát">
                                <a:hlinkClick xmlns:a="http://schemas.openxmlformats.org/drawingml/2006/main" r:id="rId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4" descr="A Pannon Filharmonikusok sajtótájékoztató keretében nyitotta meg a 2020/21-es évadá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r:link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2114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5000" w:type="pct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6"/>
                          <w:gridCol w:w="7968"/>
                          <w:gridCol w:w="516"/>
                        </w:tblGrid>
                        <w:tr w:rsidR="001A712E" w14:paraId="56139B5C" w14:textId="77777777">
                          <w:trPr>
                            <w:tblCellSpacing w:w="22" w:type="dxa"/>
                          </w:trPr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06F811" w14:textId="77777777" w:rsidR="001A712E" w:rsidRDefault="001A712E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2D678236" w14:textId="77777777" w:rsidR="001A712E" w:rsidRDefault="001A712E">
                              <w:pPr>
                                <w:pStyle w:val="Cmsor2"/>
                                <w:spacing w:after="225" w:afterAutospacing="0"/>
                                <w:rPr>
                                  <w:rFonts w:ascii="Verdana" w:eastAsia="Times New Roman" w:hAnsi="Verdana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</w:rPr>
                                <w:t xml:space="preserve">A Pannon Filharmonikusok sajtótájékoztató keretében nyitotta meg a 2020/21-es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/>
                                </w:rPr>
                                <w:t>évadát</w:t>
                              </w:r>
                              <w:proofErr w:type="spellEnd"/>
                            </w:p>
                            <w:p w14:paraId="76FB29E1" w14:textId="77777777" w:rsidR="001A712E" w:rsidRDefault="001A712E">
                              <w:pPr>
                                <w:pStyle w:val="NormlWeb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Kivételes évadot indít a Pannon Filharmonikusok ebben a különleges évben. 2020 decemberében tíz éve, hogy megnyílt a Kodály Központ, a zenekar otthona, 2021-ben pedig hazánk egyik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legrégebbi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együttese, az 1811-ben alapított Pannon Filharmonikusok a 210 éves jubileumát ünnepli majd. A zene igenis alapszükséglet – hirdeti az együttes, és a járvánnyal dacolva Gilbert Varga zenei utazásra hív,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Bogányi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Tibor pedig a zene lélekemelő hatására hívja fel a figyelmet. Az együttes Ezüstcsillanás címmel meghirdetett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évada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nem a csillogásról szól, hanem a mélyben rejlő tiszta zenei minőség örömteli ünnepe. Ősszel kiváló magyar szólistákkal, tavasszal a nemzetközi élet rangos szereplőivel is találkozhatunk.</w:t>
                              </w:r>
                            </w:p>
                            <w:p w14:paraId="1C829BE5" w14:textId="77777777" w:rsidR="001A712E" w:rsidRDefault="001A712E">
                              <w:pPr>
                                <w:pStyle w:val="NormlWeb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A Bővebben gombra kattintva további hasznos, értékes információkhoz juthatnak.</w:t>
                              </w:r>
                            </w:p>
                            <w:p w14:paraId="59A35D1B" w14:textId="06E49575" w:rsidR="001A712E" w:rsidRDefault="001A712E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color w:val="EC660D"/>
                                </w:rPr>
                                <w:drawing>
                                  <wp:inline distT="0" distB="0" distL="0" distR="0" wp14:anchorId="394A9FAD" wp14:editId="6DF5B9C4">
                                    <wp:extent cx="723900" cy="228600"/>
                                    <wp:effectExtent l="0" t="0" r="0" b="0"/>
                                    <wp:docPr id="8" name="Kép 8" descr="Bővebben">
                                      <a:hlinkClick xmlns:a="http://schemas.openxmlformats.org/drawingml/2006/main" r:id="rId1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Kép 5" descr="Bővebbe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r:link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39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B37C87F" w14:textId="77777777" w:rsidR="001A712E" w:rsidRDefault="001A712E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493BEF90" w14:textId="77777777" w:rsidR="001A712E" w:rsidRDefault="001A712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A712E" w14:paraId="562B4E9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4D7566B" w14:textId="19E0FA81" w:rsidR="001A712E" w:rsidRDefault="001A712E">
                        <w:pPr>
                          <w:spacing w:after="240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EC660D"/>
                          </w:rPr>
                          <w:drawing>
                            <wp:inline distT="0" distB="0" distL="0" distR="0" wp14:anchorId="7EDC70BB" wp14:editId="5373BB30">
                              <wp:extent cx="5715000" cy="2114550"/>
                              <wp:effectExtent l="0" t="0" r="0" b="0"/>
                              <wp:docPr id="7" name="Kép 7" descr="Bécsi barátok - A világ komolyzenei életében élen járó magyar szoprán, Baráth Emőke közreműködésével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6" descr="Bécsi barátok - A világ komolyzenei életében élen járó magyar szoprán, Baráth Emőke közreműködéséve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r:link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2114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5000" w:type="pct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6"/>
                          <w:gridCol w:w="7968"/>
                          <w:gridCol w:w="516"/>
                        </w:tblGrid>
                        <w:tr w:rsidR="001A712E" w14:paraId="3D6B69E5" w14:textId="77777777">
                          <w:trPr>
                            <w:tblCellSpacing w:w="22" w:type="dxa"/>
                          </w:trPr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41B079B" w14:textId="77777777" w:rsidR="001A712E" w:rsidRDefault="001A712E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4BFFC31D" w14:textId="77777777" w:rsidR="001A712E" w:rsidRDefault="001A712E">
                              <w:pPr>
                                <w:pStyle w:val="Cmsor2"/>
                                <w:spacing w:after="225" w:afterAutospacing="0"/>
                                <w:rPr>
                                  <w:rFonts w:ascii="Verdana" w:eastAsia="Times New Roman" w:hAnsi="Verdana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</w:rPr>
                                <w:t>Bécsi barátok - A világ komolyzenei életében élen járó magyar szoprán, Baráth Emőke közreműködésével</w:t>
                              </w:r>
                            </w:p>
                            <w:p w14:paraId="2DED087A" w14:textId="77777777" w:rsidR="001A712E" w:rsidRDefault="001A712E">
                              <w:pPr>
                                <w:pStyle w:val="NormlWeb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A Bécsi barátok című est egy fiatal magyar szopránénekesnő személye köré épül. Baráth Emőke az elmúlt évtizedben sorra hódította meg Európa, az Egyesült 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Államok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illetve Japán hangversenytermeit, így esetében talán a „sztárvendég” titulus sem túlzás. Az est műsora egyrészt ritkán hallható kompozíciókból áll: Mozart korai és Haydn világi vokális kompozícióinak részletei igazi zenei csemegéknek ígérkeznek. Emellett közismert alkotások is felcsendülnek, mint Haydn Üstdobpergés becenevű szimfóniája vagy Mozart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Exsultate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jubilate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szövegkezdetű motettája. Az est karmestere Vass András, a Pannon Filharmonikusok állandó karmestere lesz.</w:t>
                              </w:r>
                            </w:p>
                            <w:p w14:paraId="796AFB18" w14:textId="77777777" w:rsidR="001A712E" w:rsidRDefault="001A712E">
                              <w:pPr>
                                <w:pStyle w:val="NormlWeb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A Bővebben gombra kattintva a hangverseny műsoráról, fellépőjéről tájékozódhatnak.</w:t>
                              </w:r>
                            </w:p>
                            <w:p w14:paraId="182FD290" w14:textId="77777777" w:rsidR="001A712E" w:rsidRDefault="001A712E">
                              <w:pPr>
                                <w:pStyle w:val="NormlWeb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A Fidelio is követi a nemzetközi rangú művésznő munkásságát, erről </w:t>
                              </w:r>
                              <w:hyperlink r:id="rId19" w:history="1">
                                <w:r>
                                  <w:rPr>
                                    <w:rStyle w:val="Hiperhivatkozs"/>
                                    <w:rFonts w:ascii="Verdana" w:hAnsi="Verdana"/>
                                    <w:sz w:val="20"/>
                                    <w:szCs w:val="20"/>
                                  </w:rPr>
                                  <w:t xml:space="preserve">ITT 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olvashatnak bővebben.</w:t>
                              </w:r>
                            </w:p>
                            <w:p w14:paraId="7DADA81D" w14:textId="2B2D88BD" w:rsidR="001A712E" w:rsidRDefault="001A712E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color w:val="EC660D"/>
                                </w:rPr>
                                <w:drawing>
                                  <wp:inline distT="0" distB="0" distL="0" distR="0" wp14:anchorId="69DDC1AC" wp14:editId="63C22C62">
                                    <wp:extent cx="723900" cy="228600"/>
                                    <wp:effectExtent l="0" t="0" r="0" b="0"/>
                                    <wp:docPr id="6" name="Kép 6" descr="Bővebben">
                                      <a:hlinkClick xmlns:a="http://schemas.openxmlformats.org/drawingml/2006/main" r:id="rId1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Kép 7" descr="Bővebbe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r:link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39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A175D85" w14:textId="77777777" w:rsidR="001A712E" w:rsidRDefault="001A712E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5CCA40F8" w14:textId="77777777" w:rsidR="001A712E" w:rsidRDefault="001A712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6722721" w14:textId="6D9E4798" w:rsidR="001A712E" w:rsidRDefault="001A712E">
                  <w:pPr>
                    <w:spacing w:after="240"/>
                    <w:jc w:val="center"/>
                    <w:rPr>
                      <w:rFonts w:ascii="Verdana" w:hAnsi="Verdana"/>
                      <w:color w:val="3D322D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color w:val="3D322D"/>
                      <w:sz w:val="21"/>
                      <w:szCs w:val="21"/>
                    </w:rPr>
                    <w:lastRenderedPageBreak/>
                    <w:t xml:space="preserve">Az Ezüstcsillanás évad kiemelt támogatója: </w:t>
                  </w:r>
                  <w:r>
                    <w:rPr>
                      <w:rFonts w:ascii="Verdana" w:hAnsi="Verdana"/>
                      <w:noProof/>
                      <w:color w:val="3D322D"/>
                      <w:sz w:val="21"/>
                      <w:szCs w:val="21"/>
                    </w:rPr>
                    <w:drawing>
                      <wp:inline distT="0" distB="0" distL="0" distR="0" wp14:anchorId="7B5BDA8B" wp14:editId="1E423956">
                        <wp:extent cx="2857500" cy="800100"/>
                        <wp:effectExtent l="0" t="0" r="0" b="0"/>
                        <wp:docPr id="5" name="Kép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r:link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A712E" w14:paraId="39F8E2F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3D322D"/>
                  <w:tcMar>
                    <w:top w:w="225" w:type="dxa"/>
                    <w:left w:w="450" w:type="dxa"/>
                    <w:bottom w:w="225" w:type="dxa"/>
                    <w:right w:w="450" w:type="dxa"/>
                  </w:tcMar>
                  <w:vAlign w:val="center"/>
                </w:tcPr>
                <w:p w14:paraId="5869C40F" w14:textId="77777777" w:rsidR="001A712E" w:rsidRDefault="001A712E">
                  <w:pPr>
                    <w:spacing w:after="240"/>
                    <w:rPr>
                      <w:rFonts w:ascii="Verdana" w:hAnsi="Verdana"/>
                      <w:color w:val="A38A7F"/>
                      <w:sz w:val="17"/>
                      <w:szCs w:val="17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8"/>
                    <w:gridCol w:w="4659"/>
                    <w:gridCol w:w="1633"/>
                  </w:tblGrid>
                  <w:tr w:rsidR="001A712E" w14:paraId="2D43CC5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C93645D" w14:textId="5CEF029F" w:rsidR="001A712E" w:rsidRDefault="001A712E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EC660D"/>
                          </w:rPr>
                          <w:drawing>
                            <wp:inline distT="0" distB="0" distL="0" distR="0" wp14:anchorId="0DDBF864" wp14:editId="05746262">
                              <wp:extent cx="904875" cy="523875"/>
                              <wp:effectExtent l="0" t="0" r="9525" b="9525"/>
                              <wp:docPr id="4" name="Kép 4" descr="PFZ">
                                <a:hlinkClick xmlns:a="http://schemas.openxmlformats.org/drawingml/2006/main" r:id="rId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9" descr="PFZ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r:link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4875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14:paraId="6D7E39B8" w14:textId="77777777" w:rsidR="001A712E" w:rsidRDefault="001A712E">
                        <w:pPr>
                          <w:rPr>
                            <w:rFonts w:ascii="Verdana" w:hAnsi="Verdana"/>
                            <w:color w:val="A38A7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A38A7F"/>
                            <w:sz w:val="17"/>
                            <w:szCs w:val="17"/>
                          </w:rPr>
                          <w:t>© 2020 Pannon Filharmonikusok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E794474" w14:textId="1807726B" w:rsidR="001A712E" w:rsidRDefault="001A712E">
                        <w:pPr>
                          <w:jc w:val="right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EC660D"/>
                          </w:rPr>
                          <w:drawing>
                            <wp:inline distT="0" distB="0" distL="0" distR="0" wp14:anchorId="4AD4CB66" wp14:editId="460063F4">
                              <wp:extent cx="200025" cy="200025"/>
                              <wp:effectExtent l="0" t="0" r="9525" b="9525"/>
                              <wp:docPr id="3" name="Kép 3" descr="Facebook">
                                <a:hlinkClick xmlns:a="http://schemas.openxmlformats.org/drawingml/2006/main" r:id="rId2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10" descr="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r:link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/>
                          </w:rPr>
                          <w:t xml:space="preserve">  </w:t>
                        </w:r>
                        <w:r>
                          <w:rPr>
                            <w:rFonts w:ascii="Verdana" w:hAnsi="Verdana"/>
                            <w:noProof/>
                            <w:color w:val="EC660D"/>
                          </w:rPr>
                          <w:drawing>
                            <wp:inline distT="0" distB="0" distL="0" distR="0" wp14:anchorId="608BF54C" wp14:editId="71DA38AA">
                              <wp:extent cx="200025" cy="200025"/>
                              <wp:effectExtent l="0" t="0" r="9525" b="9525"/>
                              <wp:docPr id="2" name="Kép 2" descr="YouTube">
                                <a:hlinkClick xmlns:a="http://schemas.openxmlformats.org/drawingml/2006/main" r:id="rId2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11" descr="YouTub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r:link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/>
                          </w:rPr>
                          <w:t xml:space="preserve">  </w:t>
                        </w:r>
                        <w:r>
                          <w:rPr>
                            <w:rFonts w:ascii="Verdana" w:hAnsi="Verdana"/>
                            <w:noProof/>
                            <w:color w:val="EC660D"/>
                          </w:rPr>
                          <w:drawing>
                            <wp:inline distT="0" distB="0" distL="0" distR="0" wp14:anchorId="744E5E5D" wp14:editId="19A1D7E3">
                              <wp:extent cx="200025" cy="200025"/>
                              <wp:effectExtent l="0" t="0" r="9525" b="9525"/>
                              <wp:docPr id="1" name="Kép 1" descr="Instagram">
                                <a:hlinkClick xmlns:a="http://schemas.openxmlformats.org/drawingml/2006/main" r:id="rId3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12" descr="Instagra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 r:link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D01FF6B" w14:textId="77777777" w:rsidR="001A712E" w:rsidRDefault="001A712E">
                  <w:pPr>
                    <w:jc w:val="center"/>
                    <w:rPr>
                      <w:rFonts w:ascii="Verdana" w:eastAsia="Times New Roman" w:hAnsi="Verdana"/>
                      <w:color w:val="A38A7F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A38A7F"/>
                      <w:sz w:val="17"/>
                      <w:szCs w:val="17"/>
                    </w:rPr>
                    <w:pict w14:anchorId="7D871C5A">
                      <v:rect id="_x0000_i1037" style="width:470.3pt;height:1.5pt" o:hralign="center" o:hrstd="t" o:hr="t" fillcolor="#a0a0a0" stroked="f"/>
                    </w:pict>
                  </w:r>
                </w:p>
                <w:p w14:paraId="70B063FD" w14:textId="77777777" w:rsidR="001A712E" w:rsidRDefault="001A712E">
                  <w:pPr>
                    <w:spacing w:before="225" w:after="225"/>
                    <w:rPr>
                      <w:rFonts w:ascii="Verdana" w:hAnsi="Verdana"/>
                      <w:color w:val="A38A7F"/>
                      <w:sz w:val="17"/>
                      <w:szCs w:val="17"/>
                    </w:rPr>
                  </w:pPr>
                  <w:hyperlink r:id="rId33" w:history="1">
                    <w:r>
                      <w:rPr>
                        <w:rStyle w:val="Hiperhivatkozs"/>
                        <w:rFonts w:ascii="Verdana" w:hAnsi="Verdana"/>
                        <w:color w:val="A38A7F"/>
                        <w:sz w:val="17"/>
                        <w:szCs w:val="17"/>
                      </w:rPr>
                      <w:t>Leiratkozom a hírlevélről</w:t>
                    </w:r>
                  </w:hyperlink>
                  <w:r>
                    <w:rPr>
                      <w:rFonts w:ascii="Verdana" w:hAnsi="Verdana"/>
                      <w:color w:val="A38A7F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14:paraId="1C28C3FA" w14:textId="77777777" w:rsidR="001A712E" w:rsidRDefault="001A7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431E3D" w14:textId="77777777" w:rsidR="001A712E" w:rsidRDefault="001A712E" w:rsidP="001A712E"/>
    <w:p w14:paraId="300A75F2" w14:textId="77777777" w:rsidR="000360E4" w:rsidRDefault="000360E4"/>
    <w:sectPr w:rsidR="00036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2E"/>
    <w:rsid w:val="000360E4"/>
    <w:rsid w:val="001A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7592"/>
  <w15:chartTrackingRefBased/>
  <w15:docId w15:val="{ACF546BA-69D4-4E00-9026-7C37887A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712E"/>
    <w:pPr>
      <w:spacing w:after="0" w:line="240" w:lineRule="auto"/>
    </w:pPr>
    <w:rPr>
      <w:rFonts w:ascii="Calibri" w:hAnsi="Calibri" w:cs="Calibri"/>
      <w:lang w:eastAsia="hu-HU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1A712E"/>
    <w:pPr>
      <w:spacing w:before="100" w:beforeAutospacing="1" w:after="100" w:afterAutospacing="1"/>
      <w:outlineLvl w:val="1"/>
    </w:pPr>
    <w:rPr>
      <w:color w:val="EC660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1A712E"/>
    <w:rPr>
      <w:rFonts w:ascii="Calibri" w:hAnsi="Calibri" w:cs="Calibri"/>
      <w:color w:val="EC660D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A712E"/>
    <w:rPr>
      <w:strike w:val="0"/>
      <w:dstrike w:val="0"/>
      <w:color w:val="EC660D"/>
      <w:u w:val="none"/>
      <w:effect w:val="none"/>
    </w:rPr>
  </w:style>
  <w:style w:type="paragraph" w:styleId="NormlWeb">
    <w:name w:val="Normal (Web)"/>
    <w:basedOn w:val="Norml"/>
    <w:uiPriority w:val="99"/>
    <w:semiHidden/>
    <w:unhideWhenUsed/>
    <w:rsid w:val="001A712E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1A7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0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cid:49f2a533a7d06924a476d1852f279258@swift.generated" TargetMode="External"/><Relationship Id="rId18" Type="http://schemas.openxmlformats.org/officeDocument/2006/relationships/image" Target="cid:04de5d4e0a4678add458b6cb06dded16@swift.generated" TargetMode="External"/><Relationship Id="rId26" Type="http://schemas.openxmlformats.org/officeDocument/2006/relationships/image" Target="cid:db37dac244f739b3249e92392c8452c5@swift.generated" TargetMode="External"/><Relationship Id="rId3" Type="http://schemas.openxmlformats.org/officeDocument/2006/relationships/webSettings" Target="webSettings.xml"/><Relationship Id="rId21" Type="http://schemas.openxmlformats.org/officeDocument/2006/relationships/image" Target="cid:2b12481a4e86fb525129d3b1c0014342@swift.generated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online-pfz.jegy.hu/#/event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5.jpeg"/><Relationship Id="rId25" Type="http://schemas.openxmlformats.org/officeDocument/2006/relationships/image" Target="media/image8.jpeg"/><Relationship Id="rId33" Type="http://schemas.openxmlformats.org/officeDocument/2006/relationships/hyperlink" Target="https://www.pfz.hu/hirlevel_leiratkozas/d8cf1498c8c507a6ef20d3dcf38f245db0e739b9" TargetMode="External"/><Relationship Id="rId2" Type="http://schemas.openxmlformats.org/officeDocument/2006/relationships/settings" Target="settings.xml"/><Relationship Id="rId16" Type="http://schemas.openxmlformats.org/officeDocument/2006/relationships/image" Target="cid:317434c3dc1a32bab3846a9989f9cf90@swift.generated" TargetMode="External"/><Relationship Id="rId20" Type="http://schemas.openxmlformats.org/officeDocument/2006/relationships/image" Target="media/image6.jpeg"/><Relationship Id="rId29" Type="http://schemas.openxmlformats.org/officeDocument/2006/relationships/image" Target="cid:ef0bfbc5dbea6417db44f3b913ccf04b@swift.generated" TargetMode="External"/><Relationship Id="rId1" Type="http://schemas.openxmlformats.org/officeDocument/2006/relationships/styles" Target="styles.xml"/><Relationship Id="rId6" Type="http://schemas.openxmlformats.org/officeDocument/2006/relationships/image" Target="cid:b0209fad0bf8907cb5a46eea56578b26@swift.generated" TargetMode="External"/><Relationship Id="rId11" Type="http://schemas.openxmlformats.org/officeDocument/2006/relationships/hyperlink" Target="https://www.pfz.hu/koncert/1435/becsi-baratok-egyben-berletes-pothangverseny-is" TargetMode="External"/><Relationship Id="rId24" Type="http://schemas.openxmlformats.org/officeDocument/2006/relationships/hyperlink" Target="https://www.facebook.com/Pannon.Filharmonikusok/" TargetMode="External"/><Relationship Id="rId32" Type="http://schemas.openxmlformats.org/officeDocument/2006/relationships/image" Target="cid:f829e35907b45d8f0fcdd9ef733b2c95@swift.generated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image" Target="cid:35cd667a5d548842de5803e9d9d802f4@swift.generated" TargetMode="External"/><Relationship Id="rId28" Type="http://schemas.openxmlformats.org/officeDocument/2006/relationships/image" Target="media/image9.jpeg"/><Relationship Id="rId10" Type="http://schemas.openxmlformats.org/officeDocument/2006/relationships/hyperlink" Target="https://www.pfz.hu/koncert/1405/a-kulonbozoseg-harmoniaja" TargetMode="External"/><Relationship Id="rId19" Type="http://schemas.openxmlformats.org/officeDocument/2006/relationships/hyperlink" Target="https://fidelio.hu/klasszikus/rangos-dijra-jeloltek-barath-emoke-lemezet-152584.html" TargetMode="External"/><Relationship Id="rId31" Type="http://schemas.openxmlformats.org/officeDocument/2006/relationships/image" Target="media/image10.jpeg"/><Relationship Id="rId4" Type="http://schemas.openxmlformats.org/officeDocument/2006/relationships/hyperlink" Target="https://www.pfz.hu/" TargetMode="External"/><Relationship Id="rId9" Type="http://schemas.openxmlformats.org/officeDocument/2006/relationships/image" Target="cid:d3655ff9dc5f51d1beb14b89ff09b301@swift.generated" TargetMode="External"/><Relationship Id="rId14" Type="http://schemas.openxmlformats.org/officeDocument/2006/relationships/hyperlink" Target="https://www.pfz.hu/hir/2020-09-09/1221/a-pannon-filharmonikusok-megnyitja-ezustcsillanas-evadat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s://www.youtube.com/user/pannonphilharmonic" TargetMode="External"/><Relationship Id="rId30" Type="http://schemas.openxmlformats.org/officeDocument/2006/relationships/hyperlink" Target="https://www.instagram.com/pannonphilharmonic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2020-09-22T07:34:00Z</dcterms:created>
  <dcterms:modified xsi:type="dcterms:W3CDTF">2020-09-22T07:34:00Z</dcterms:modified>
</cp:coreProperties>
</file>