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E3" w:rsidRDefault="001B23E3" w:rsidP="001B23E3">
      <w:pPr>
        <w:pStyle w:val="Cmsor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Cs w:val="0"/>
          <w:color w:val="222222"/>
          <w:spacing w:val="-5"/>
          <w:sz w:val="24"/>
          <w:szCs w:val="24"/>
        </w:rPr>
      </w:pPr>
      <w:r>
        <w:rPr>
          <w:rFonts w:ascii="Arial" w:hAnsi="Arial" w:cs="Arial"/>
          <w:bCs w:val="0"/>
          <w:color w:val="222222"/>
          <w:spacing w:val="-5"/>
          <w:sz w:val="24"/>
          <w:szCs w:val="24"/>
        </w:rPr>
        <w:t>M</w:t>
      </w:r>
      <w:r w:rsidRPr="00754F43">
        <w:rPr>
          <w:rFonts w:ascii="Arial" w:hAnsi="Arial" w:cs="Arial"/>
          <w:bCs w:val="0"/>
          <w:color w:val="222222"/>
          <w:spacing w:val="-5"/>
          <w:sz w:val="24"/>
          <w:szCs w:val="24"/>
        </w:rPr>
        <w:t>ennyi idő alatt bomlanak le az általunk használt anyagok a környezetben?</w:t>
      </w:r>
    </w:p>
    <w:p w:rsidR="001B23E3" w:rsidRPr="00754F43" w:rsidRDefault="001B23E3" w:rsidP="001B23E3">
      <w:pPr>
        <w:pStyle w:val="Cmsor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4"/>
          <w:szCs w:val="24"/>
        </w:rPr>
      </w:pPr>
    </w:p>
    <w:p w:rsidR="001B23E3" w:rsidRDefault="001B23E3" w:rsidP="001B23E3">
      <w:pPr>
        <w:pStyle w:val="Norml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  <w:color w:val="222222"/>
        </w:rPr>
      </w:pPr>
      <w:r w:rsidRPr="00754F43">
        <w:rPr>
          <w:rFonts w:ascii="Arial" w:hAnsi="Arial" w:cs="Arial"/>
          <w:color w:val="222222"/>
        </w:rPr>
        <w:t xml:space="preserve">Tudod, hogy </w:t>
      </w:r>
      <w:proofErr w:type="gramStart"/>
      <w:r w:rsidRPr="00754F43">
        <w:rPr>
          <w:rFonts w:ascii="Arial" w:hAnsi="Arial" w:cs="Arial"/>
          <w:color w:val="222222"/>
        </w:rPr>
        <w:t>a  hétköznapokban</w:t>
      </w:r>
      <w:proofErr w:type="gramEnd"/>
      <w:r w:rsidRPr="00754F43">
        <w:rPr>
          <w:rFonts w:ascii="Arial" w:hAnsi="Arial" w:cs="Arial"/>
          <w:color w:val="222222"/>
        </w:rPr>
        <w:t xml:space="preserve"> használt anyagok, termékek mennyi idő alatt bomlanak le a környezetünkben, miután kidobásra kerültek? Napjainkban egyre többet hallunk a médiában a </w:t>
      </w:r>
      <w:r w:rsidRPr="00754F43">
        <w:rPr>
          <w:rStyle w:val="Kiemels2"/>
          <w:rFonts w:ascii="Arial" w:hAnsi="Arial" w:cs="Arial"/>
          <w:color w:val="222222"/>
        </w:rPr>
        <w:t>környezettudatosságról</w:t>
      </w:r>
      <w:r w:rsidRPr="00754F43">
        <w:rPr>
          <w:rFonts w:ascii="Arial" w:hAnsi="Arial" w:cs="Arial"/>
          <w:color w:val="222222"/>
        </w:rPr>
        <w:t>, hogy minél több “szemetet” hasznosítsunk újra, </w:t>
      </w:r>
      <w:r w:rsidRPr="00754F43">
        <w:rPr>
          <w:rStyle w:val="Kiemels2"/>
          <w:rFonts w:ascii="Arial" w:hAnsi="Arial" w:cs="Arial"/>
          <w:color w:val="222222"/>
        </w:rPr>
        <w:t>szelektáljuk a hulladékot</w:t>
      </w:r>
      <w:r w:rsidRPr="00754F43">
        <w:rPr>
          <w:rFonts w:ascii="Arial" w:hAnsi="Arial" w:cs="Arial"/>
          <w:color w:val="222222"/>
        </w:rPr>
        <w:t xml:space="preserve">. Az üvegnek 1-2 millió év, a műanyag szatyornak 200-1000 év, az eldobható pelenkának pedig 550 év a lebomlási ideje. </w:t>
      </w:r>
      <w:r>
        <w:rPr>
          <w:rFonts w:ascii="Arial" w:hAnsi="Arial" w:cs="Arial"/>
          <w:color w:val="222222"/>
        </w:rPr>
        <w:t>Látva az adatokat szükséges elgondolkodni az egyes anyagok </w:t>
      </w:r>
      <w:proofErr w:type="spellStart"/>
      <w:r>
        <w:rPr>
          <w:rFonts w:ascii="Arial" w:hAnsi="Arial" w:cs="Arial"/>
          <w:color w:val="222222"/>
        </w:rPr>
        <w:t>újrahasznosítási</w:t>
      </w:r>
      <w:proofErr w:type="spellEnd"/>
      <w:r>
        <w:rPr>
          <w:rFonts w:ascii="Arial" w:hAnsi="Arial" w:cs="Arial"/>
          <w:color w:val="222222"/>
        </w:rPr>
        <w:t xml:space="preserve"> lehetőségén, hiszen annyi mindent megteszünk a Földünkért, ugyanakkor sokat ártunk is, ezért fontos lenne ezen a téren tudatosabban odafigyelni. Reméljük, hogy az alábbi lista sokaknak segít megérteni az újrahasznosítás és a </w:t>
      </w:r>
      <w:r>
        <w:rPr>
          <w:rStyle w:val="Kiemels2"/>
          <w:rFonts w:ascii="Arial" w:hAnsi="Arial" w:cs="Arial"/>
          <w:color w:val="222222"/>
        </w:rPr>
        <w:t>környezettudatos élet</w:t>
      </w:r>
      <w:r>
        <w:rPr>
          <w:rFonts w:ascii="Arial" w:hAnsi="Arial" w:cs="Arial"/>
          <w:color w:val="222222"/>
        </w:rPr>
        <w:t> elfogadásának és alkalmazásának fontosságát. </w:t>
      </w:r>
    </w:p>
    <w:p w:rsidR="001B23E3" w:rsidRDefault="001B23E3" w:rsidP="001B23E3">
      <w:pPr>
        <w:pStyle w:val="NormlWeb"/>
        <w:shd w:val="clear" w:color="auto" w:fill="FFFFFF"/>
        <w:spacing w:before="0" w:beforeAutospacing="0" w:after="360" w:afterAutospacing="0" w:line="36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 wp14:anchorId="5D6FC437" wp14:editId="23C754E3">
            <wp:extent cx="5731762" cy="3181350"/>
            <wp:effectExtent l="0" t="0" r="2540" b="0"/>
            <wp:docPr id="3" name="Kép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97" cy="31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23E3" w:rsidRPr="00431EAD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Műanyag szatyrok</w:t>
            </w:r>
          </w:p>
        </w:tc>
        <w:tc>
          <w:tcPr>
            <w:tcW w:w="4531" w:type="dxa"/>
          </w:tcPr>
          <w:p w:rsidR="001B23E3" w:rsidRPr="008D149D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8D149D">
              <w:rPr>
                <w:rFonts w:ascii="Arial" w:hAnsi="Arial" w:cs="Arial"/>
                <w:b/>
                <w:color w:val="222222"/>
              </w:rPr>
              <w:t>200-1000 év</w:t>
            </w:r>
          </w:p>
        </w:tc>
      </w:tr>
      <w:tr w:rsidR="001B23E3" w:rsidRPr="00431EAD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Horgászzsinór, damil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600 év</w:t>
            </w:r>
          </w:p>
        </w:tc>
      </w:tr>
      <w:tr w:rsidR="001B23E3" w:rsidRPr="00431EAD" w:rsidTr="004F3C8A">
        <w:tc>
          <w:tcPr>
            <w:tcW w:w="4531" w:type="dxa"/>
          </w:tcPr>
          <w:p w:rsidR="001B23E3" w:rsidRPr="00431EAD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Eldobható pelenka</w:t>
            </w:r>
          </w:p>
        </w:tc>
        <w:tc>
          <w:tcPr>
            <w:tcW w:w="4531" w:type="dxa"/>
          </w:tcPr>
          <w:p w:rsidR="001B23E3" w:rsidRPr="00431EAD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550 év</w:t>
            </w:r>
          </w:p>
        </w:tc>
      </w:tr>
      <w:tr w:rsidR="001B23E3" w:rsidRPr="00431EAD" w:rsidTr="004F3C8A">
        <w:tc>
          <w:tcPr>
            <w:tcW w:w="4531" w:type="dxa"/>
          </w:tcPr>
          <w:p w:rsidR="001B23E3" w:rsidRPr="00431EAD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color w:val="222222"/>
              </w:rPr>
            </w:pPr>
            <w:r w:rsidRPr="00431EAD">
              <w:rPr>
                <w:rStyle w:val="Kiemels2"/>
                <w:rFonts w:ascii="Arial" w:hAnsi="Arial" w:cs="Arial"/>
                <w:color w:val="222222"/>
              </w:rPr>
              <w:t>Műanyag palack</w:t>
            </w:r>
          </w:p>
        </w:tc>
        <w:tc>
          <w:tcPr>
            <w:tcW w:w="4531" w:type="dxa"/>
          </w:tcPr>
          <w:p w:rsidR="001B23E3" w:rsidRPr="00431EAD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b/>
                <w:color w:val="222222"/>
              </w:rPr>
            </w:pPr>
            <w:r w:rsidRPr="00431EAD">
              <w:rPr>
                <w:rFonts w:ascii="Arial" w:hAnsi="Arial" w:cs="Arial"/>
                <w:b/>
                <w:color w:val="222222"/>
              </w:rPr>
              <w:t>450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Alumínium konzervdoboz</w:t>
            </w:r>
          </w:p>
        </w:tc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200-500 év</w:t>
            </w:r>
          </w:p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(</w:t>
            </w:r>
            <w:proofErr w:type="spellStart"/>
            <w:r w:rsidRPr="00754F43">
              <w:rPr>
                <w:rFonts w:ascii="Arial" w:hAnsi="Arial" w:cs="Arial"/>
                <w:color w:val="222222"/>
              </w:rPr>
              <w:t>újrahasznosítással</w:t>
            </w:r>
            <w:proofErr w:type="spellEnd"/>
            <w:r w:rsidRPr="00754F43">
              <w:rPr>
                <w:rFonts w:ascii="Arial" w:hAnsi="Arial" w:cs="Arial"/>
                <w:color w:val="222222"/>
              </w:rPr>
              <w:t xml:space="preserve"> kb. 6 héten belül új doboz készülhet belőle!)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Gumi csizma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50-80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Habosított műanyag pohár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50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Ónozott acél konzervdoboz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50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Bőr cipő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25-40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Cigaretta csikk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10-12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Tejes doboz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5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lastRenderedPageBreak/>
              <w:t>Gyapjú zokni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1-5 év</w:t>
            </w:r>
          </w:p>
        </w:tc>
      </w:tr>
      <w:tr w:rsidR="001B23E3" w:rsidTr="004F3C8A"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Furnér lemez</w:t>
            </w:r>
          </w:p>
        </w:tc>
        <w:tc>
          <w:tcPr>
            <w:tcW w:w="4531" w:type="dxa"/>
          </w:tcPr>
          <w:p w:rsidR="001B23E3" w:rsidRPr="00754F43" w:rsidRDefault="001B23E3" w:rsidP="004F3C8A">
            <w:pPr>
              <w:pStyle w:val="Norm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1-3 év</w:t>
            </w:r>
          </w:p>
        </w:tc>
      </w:tr>
      <w:tr w:rsidR="001B23E3" w:rsidTr="004F3C8A"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Pamut kesztyű</w:t>
            </w:r>
          </w:p>
        </w:tc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3 hónap</w:t>
            </w:r>
          </w:p>
        </w:tc>
      </w:tr>
      <w:tr w:rsidR="001B23E3" w:rsidTr="004F3C8A"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>
              <w:rPr>
                <w:rStyle w:val="Kiemels2"/>
                <w:rFonts w:ascii="Arial" w:hAnsi="Arial" w:cs="Arial"/>
                <w:color w:val="222222"/>
              </w:rPr>
              <w:t>Karton</w:t>
            </w:r>
            <w:r w:rsidRPr="00754F43">
              <w:rPr>
                <w:rStyle w:val="Kiemels2"/>
                <w:rFonts w:ascii="Arial" w:hAnsi="Arial" w:cs="Arial"/>
                <w:color w:val="222222"/>
              </w:rPr>
              <w:t> papír</w:t>
            </w:r>
          </w:p>
        </w:tc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2 hónap</w:t>
            </w:r>
          </w:p>
        </w:tc>
      </w:tr>
      <w:tr w:rsidR="001B23E3" w:rsidTr="004F3C8A"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Újságpapír</w:t>
            </w:r>
          </w:p>
        </w:tc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1,</w:t>
            </w:r>
            <w:r w:rsidRPr="00754F43">
              <w:rPr>
                <w:rFonts w:ascii="Arial" w:hAnsi="Arial" w:cs="Arial"/>
                <w:color w:val="222222"/>
              </w:rPr>
              <w:t>5 hónap</w:t>
            </w:r>
          </w:p>
        </w:tc>
      </w:tr>
      <w:tr w:rsidR="001B23E3" w:rsidTr="004F3C8A"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Papír táska (papírszatyor</w:t>
            </w:r>
          </w:p>
        </w:tc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1 hónap</w:t>
            </w:r>
          </w:p>
        </w:tc>
      </w:tr>
      <w:tr w:rsidR="001B23E3" w:rsidTr="004F3C8A"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Papír törlőkendő</w:t>
            </w:r>
          </w:p>
        </w:tc>
        <w:tc>
          <w:tcPr>
            <w:tcW w:w="4531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2-4 hét</w:t>
            </w:r>
          </w:p>
        </w:tc>
      </w:tr>
    </w:tbl>
    <w:p w:rsidR="001B23E3" w:rsidRDefault="001B23E3" w:rsidP="001B23E3">
      <w:pPr>
        <w:jc w:val="both"/>
        <w:rPr>
          <w:rFonts w:ascii="Arial" w:hAnsi="Arial" w:cs="Arial"/>
          <w:color w:val="4B4B4B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B23E3" w:rsidTr="004F3C8A">
        <w:tc>
          <w:tcPr>
            <w:tcW w:w="5098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Narancshéj</w:t>
            </w:r>
          </w:p>
        </w:tc>
        <w:tc>
          <w:tcPr>
            <w:tcW w:w="3964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6 hónap</w:t>
            </w:r>
          </w:p>
        </w:tc>
      </w:tr>
      <w:tr w:rsidR="001B23E3" w:rsidTr="004F3C8A">
        <w:tc>
          <w:tcPr>
            <w:tcW w:w="5098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Almamag</w:t>
            </w:r>
          </w:p>
        </w:tc>
        <w:tc>
          <w:tcPr>
            <w:tcW w:w="3964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2 hónap</w:t>
            </w:r>
          </w:p>
        </w:tc>
      </w:tr>
      <w:tr w:rsidR="001B23E3" w:rsidTr="004F3C8A">
        <w:tc>
          <w:tcPr>
            <w:tcW w:w="5098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Style w:val="Kiemels2"/>
                <w:rFonts w:ascii="Arial" w:hAnsi="Arial" w:cs="Arial"/>
                <w:color w:val="222222"/>
              </w:rPr>
              <w:t>Banánhéj</w:t>
            </w:r>
          </w:p>
        </w:tc>
        <w:tc>
          <w:tcPr>
            <w:tcW w:w="3964" w:type="dxa"/>
          </w:tcPr>
          <w:p w:rsidR="001B23E3" w:rsidRDefault="001B23E3" w:rsidP="004F3C8A">
            <w:pPr>
              <w:pStyle w:val="NormlWeb"/>
              <w:spacing w:before="0" w:beforeAutospacing="0" w:after="0" w:afterAutospacing="0"/>
              <w:rPr>
                <w:rStyle w:val="Kiemels2"/>
                <w:rFonts w:ascii="Arial" w:hAnsi="Arial" w:cs="Arial"/>
                <w:b w:val="0"/>
                <w:color w:val="222222"/>
              </w:rPr>
            </w:pPr>
            <w:r w:rsidRPr="00754F43">
              <w:rPr>
                <w:rFonts w:ascii="Arial" w:hAnsi="Arial" w:cs="Arial"/>
                <w:color w:val="222222"/>
              </w:rPr>
              <w:t>3-4 hét</w:t>
            </w:r>
          </w:p>
        </w:tc>
      </w:tr>
    </w:tbl>
    <w:p w:rsidR="001B23E3" w:rsidRDefault="001B23E3" w:rsidP="001B23E3">
      <w:pPr>
        <w:jc w:val="both"/>
        <w:rPr>
          <w:rStyle w:val="Hiperhivatkozs"/>
          <w:rFonts w:ascii="Arial" w:hAnsi="Arial" w:cs="Arial"/>
          <w:shd w:val="clear" w:color="auto" w:fill="FFFFFF"/>
        </w:rPr>
      </w:pPr>
    </w:p>
    <w:p w:rsidR="001B23E3" w:rsidRDefault="001B23E3" w:rsidP="001B23E3">
      <w:pPr>
        <w:jc w:val="both"/>
        <w:rPr>
          <w:rFonts w:ascii="Arial" w:hAnsi="Arial" w:cs="Arial"/>
          <w:color w:val="4B4B4B"/>
          <w:shd w:val="clear" w:color="auto" w:fill="FFFFFF"/>
        </w:rPr>
      </w:pPr>
      <w:hyperlink r:id="rId5" w:history="1">
        <w:r w:rsidRPr="00D06B9C">
          <w:rPr>
            <w:rStyle w:val="Hiperhivatkozs"/>
            <w:rFonts w:ascii="Arial" w:hAnsi="Arial" w:cs="Arial"/>
            <w:shd w:val="clear" w:color="auto" w:fill="FFFFFF"/>
          </w:rPr>
          <w:t>http://www.erdekesvilag.hu/mennyi-ido-alatt-bomlanak-le-az-altalunk-hasznalt-anyagok-a-kornyezetben/</w:t>
        </w:r>
      </w:hyperlink>
    </w:p>
    <w:p w:rsidR="001B23E3" w:rsidRPr="00383CFE" w:rsidRDefault="001B23E3" w:rsidP="001B23E3">
      <w:pPr>
        <w:spacing w:after="360" w:line="36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3CFE">
        <w:rPr>
          <w:rFonts w:ascii="Arial" w:hAnsi="Arial" w:cs="Arial"/>
          <w:sz w:val="24"/>
          <w:szCs w:val="24"/>
          <w:shd w:val="clear" w:color="auto" w:fill="FFFFFF"/>
        </w:rPr>
        <w:t>Közismert tény, hogy Magyarországon a hulladékok kb. fele csomagolóanyag. Túl sok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83CFE">
        <w:rPr>
          <w:rFonts w:ascii="Arial" w:hAnsi="Arial" w:cs="Arial"/>
          <w:sz w:val="24"/>
          <w:szCs w:val="24"/>
          <w:shd w:val="clear" w:color="auto" w:fill="FFFFFF"/>
        </w:rPr>
        <w:t xml:space="preserve">csomagolt terméket </w:t>
      </w:r>
      <w:proofErr w:type="spellStart"/>
      <w:r w:rsidRPr="00383CFE">
        <w:rPr>
          <w:rFonts w:ascii="Arial" w:hAnsi="Arial" w:cs="Arial"/>
          <w:sz w:val="24"/>
          <w:szCs w:val="24"/>
          <w:shd w:val="clear" w:color="auto" w:fill="FFFFFF"/>
        </w:rPr>
        <w:t>vásárolunk</w:t>
      </w:r>
      <w:proofErr w:type="spellEnd"/>
      <w:r w:rsidRPr="00383CFE">
        <w:rPr>
          <w:rFonts w:ascii="Arial" w:hAnsi="Arial" w:cs="Arial"/>
          <w:sz w:val="24"/>
          <w:szCs w:val="24"/>
          <w:shd w:val="clear" w:color="auto" w:fill="FFFFFF"/>
        </w:rPr>
        <w:t>, és túl sok rétegű csomagolást használunk. </w:t>
      </w:r>
    </w:p>
    <w:p w:rsidR="001B23E3" w:rsidRPr="00383CFE" w:rsidRDefault="001B23E3" w:rsidP="001B23E3">
      <w:pPr>
        <w:pStyle w:val="Norml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</w:rPr>
      </w:pPr>
      <w:r w:rsidRPr="00383CFE">
        <w:rPr>
          <w:rFonts w:ascii="Arial" w:hAnsi="Arial" w:cs="Arial"/>
        </w:rPr>
        <w:t xml:space="preserve">De van olyan termék is, amit nem is szükséges becsomagolni. Pl. a zöldséget, gyümölcsöt jobb, ha darabonként vesszük és nem kilós csomagban. Árban persze legtöbbször jobban megéri a kilós csomag, de ottmarad a csomagolóanyag. (Még </w:t>
      </w:r>
      <w:proofErr w:type="gramStart"/>
      <w:r w:rsidRPr="00383CFE">
        <w:rPr>
          <w:rFonts w:ascii="Arial" w:hAnsi="Arial" w:cs="Arial"/>
        </w:rPr>
        <w:t>jó,  ha</w:t>
      </w:r>
      <w:proofErr w:type="gramEnd"/>
      <w:r w:rsidRPr="00383CFE">
        <w:rPr>
          <w:rFonts w:ascii="Arial" w:hAnsi="Arial" w:cs="Arial"/>
        </w:rPr>
        <w:t xml:space="preserve"> csak hálóban van az alma, répa, hagyma, és nem nejlonban…)  Persze a fagyasztott árut pl. be kell csomagolni, de azt is elég egy rétegben.</w:t>
      </w:r>
    </w:p>
    <w:p w:rsidR="001B23E3" w:rsidRDefault="001B23E3" w:rsidP="001B23E3">
      <w:pPr>
        <w:pStyle w:val="Norml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</w:rPr>
      </w:pPr>
      <w:r w:rsidRPr="00383CFE">
        <w:rPr>
          <w:rFonts w:ascii="Arial" w:hAnsi="Arial" w:cs="Arial"/>
        </w:rPr>
        <w:t>Általában a műanyag csomagolás a legrosszabb, mert azt lehet a legkevésbé újra használni, az bomlik le leglassabban a környezetben, és annak a gyártása kerül a legtöbb energiába és szennyezésbe, mégis egyre inkább terjed, mert egyszerű használni, mindenféle termék formájára igazítható, olcsó és megvédi a terméket a külvilágtól. Mégis kerüljük, ha lehet, mert a műanyagokkal a természet nem tud mit kezdeni, sokat ártunk a környezetnek, ha műanyag tárgyakat vagy műanyagba csomagolt termékeket veszünk.</w:t>
      </w:r>
      <w:bookmarkStart w:id="0" w:name="_GoBack"/>
      <w:bookmarkEnd w:id="0"/>
      <w:r w:rsidRPr="00383CFE">
        <w:rPr>
          <w:rFonts w:ascii="Arial" w:hAnsi="Arial" w:cs="Arial"/>
        </w:rPr>
        <w:t>A csomagolásnál tehát fontos szempont, hogy minél kevesebb réteg legyen, minél többször használjuk újra, és lehetőleg ne műanyag legyen. Így ártunk legkevesebbet a környezetnek. És erre hívja fel a figyelmet minden évben a csomagolásmentes világnap</w:t>
      </w:r>
      <w:r>
        <w:rPr>
          <w:rFonts w:ascii="Arial" w:hAnsi="Arial" w:cs="Arial"/>
        </w:rPr>
        <w:t>.</w:t>
      </w:r>
    </w:p>
    <w:p w:rsidR="001B23E3" w:rsidRDefault="001B23E3" w:rsidP="001B23E3">
      <w:pPr>
        <w:pStyle w:val="Norml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</w:rPr>
      </w:pPr>
      <w:hyperlink r:id="rId6" w:history="1">
        <w:r w:rsidRPr="000A3CBE">
          <w:rPr>
            <w:rStyle w:val="Hiperhivatkozs"/>
            <w:rFonts w:ascii="Arial" w:hAnsi="Arial" w:cs="Arial"/>
          </w:rPr>
          <w:t>https://felsofokon.hu/kornyezetvedelem/csomagolasmentes-vilagnap/</w:t>
        </w:r>
      </w:hyperlink>
    </w:p>
    <w:p w:rsidR="001B23E3" w:rsidRDefault="001B23E3" w:rsidP="001B23E3">
      <w:pPr>
        <w:pStyle w:val="NormlWeb"/>
        <w:shd w:val="clear" w:color="auto" w:fill="FFFFFF"/>
        <w:spacing w:before="0" w:beforeAutospacing="0" w:after="36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További cikk a témában:</w:t>
      </w:r>
    </w:p>
    <w:p w:rsidR="001B23E3" w:rsidRDefault="001B23E3" w:rsidP="001B23E3">
      <w:pPr>
        <w:spacing w:after="0"/>
        <w:rPr>
          <w:rStyle w:val="Hiperhivatkozs"/>
          <w:rFonts w:ascii="Arial" w:eastAsia="Calibri" w:hAnsi="Arial" w:cs="Arial"/>
        </w:rPr>
      </w:pPr>
      <w:hyperlink r:id="rId7" w:history="1">
        <w:r w:rsidRPr="00D06B9C">
          <w:rPr>
            <w:rStyle w:val="Hiperhivatkozs"/>
            <w:rFonts w:ascii="Arial" w:eastAsia="Calibri" w:hAnsi="Arial" w:cs="Arial"/>
          </w:rPr>
          <w:t>http://www.origo.hu/gazdasag/20180528-europai-unio-brusszel-szigoru-szabalyozas-muanyaghulladek.html</w:t>
        </w:r>
      </w:hyperlink>
    </w:p>
    <w:p w:rsidR="00122878" w:rsidRDefault="00122878"/>
    <w:sectPr w:rsidR="0012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E3"/>
    <w:rsid w:val="00122878"/>
    <w:rsid w:val="001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F3D"/>
  <w15:chartTrackingRefBased/>
  <w15:docId w15:val="{8BFF123F-1830-4E46-9DCF-9B14375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23E3"/>
  </w:style>
  <w:style w:type="paragraph" w:styleId="Cmsor1">
    <w:name w:val="heading 1"/>
    <w:basedOn w:val="Norml"/>
    <w:link w:val="Cmsor1Char"/>
    <w:uiPriority w:val="9"/>
    <w:qFormat/>
    <w:rsid w:val="001B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23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1B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1B23E3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1B23E3"/>
    <w:rPr>
      <w:b/>
      <w:bCs/>
    </w:rPr>
  </w:style>
  <w:style w:type="table" w:styleId="Rcsostblzat">
    <w:name w:val="Table Grid"/>
    <w:basedOn w:val="Normltblzat"/>
    <w:uiPriority w:val="39"/>
    <w:rsid w:val="001B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B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igo.hu/gazdasag/20180528-europai-unio-brusszel-szigoru-szabalyozas-muanyaghullade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lsofokon.hu/kornyezetvedelem/csomagolasmentes-vilagnap/" TargetMode="External"/><Relationship Id="rId5" Type="http://schemas.openxmlformats.org/officeDocument/2006/relationships/hyperlink" Target="http://www.erdekesvilag.hu/mennyi-ido-alatt-bomlanak-le-az-altalunk-hasznalt-anyagok-a-kornyezetbe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2019-11-12T14:15:00Z</dcterms:created>
  <dcterms:modified xsi:type="dcterms:W3CDTF">2019-11-12T14:17:00Z</dcterms:modified>
</cp:coreProperties>
</file>