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19FF" w14:textId="0045F111" w:rsidR="00776079" w:rsidRDefault="00776079" w:rsidP="0077607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741F90"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  <w:t>BREAD AND WATER IN 2022, AFRICA</w:t>
      </w:r>
    </w:p>
    <w:p w14:paraId="163DBAF9" w14:textId="593A92DC" w:rsidR="00776079" w:rsidRPr="00741F90" w:rsidRDefault="00776079" w:rsidP="0077607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Open Sans"/>
          <w:b/>
          <w:color w:val="333333"/>
          <w:sz w:val="32"/>
          <w:szCs w:val="32"/>
          <w:lang w:eastAsia="hu-HU"/>
        </w:rPr>
      </w:pPr>
      <w:r w:rsidRPr="009C1D3A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3720F72B" wp14:editId="5591F528">
            <wp:extent cx="5760720" cy="4318000"/>
            <wp:effectExtent l="0" t="0" r="0" b="635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53775" w14:textId="77777777" w:rsidR="00776079" w:rsidRPr="009C1D3A" w:rsidRDefault="00776079" w:rsidP="0077607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</w:pP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Perhaps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two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most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fundamental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factors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for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humanity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were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discussed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19 May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Africa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Week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conference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at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Knowledge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Center in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framework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International Spring.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Rashed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Daher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analyzed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impact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Ukrainian-Russian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war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food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situation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Africa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gram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and in</w:t>
      </w:r>
      <w:proofErr w:type="gram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particular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in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Egypt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,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while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Ráhel Czirják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presented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results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a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study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impact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a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specific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project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on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a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water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supply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unit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set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up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by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Maltese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Relief Service in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the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Kibera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</w:t>
      </w:r>
      <w:proofErr w:type="spellStart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>district</w:t>
      </w:r>
      <w:proofErr w:type="spellEnd"/>
      <w:r w:rsidRPr="00741F90">
        <w:rPr>
          <w:rFonts w:ascii="inherit" w:eastAsia="Times New Roman" w:hAnsi="inherit" w:cs="Open Sans"/>
          <w:color w:val="333333"/>
          <w:sz w:val="26"/>
          <w:szCs w:val="26"/>
          <w:lang w:eastAsia="hu-HU"/>
        </w:rPr>
        <w:t xml:space="preserve"> of Nairobi.</w:t>
      </w:r>
    </w:p>
    <w:p w14:paraId="53925477" w14:textId="77777777" w:rsidR="00266B12" w:rsidRDefault="00266B12"/>
    <w:sectPr w:rsidR="0026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079"/>
    <w:rsid w:val="00266B12"/>
    <w:rsid w:val="0077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6564"/>
  <w15:chartTrackingRefBased/>
  <w15:docId w15:val="{9516E054-D022-46A2-92C6-108CD012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60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452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2022-10-24T20:09:00Z</dcterms:created>
  <dcterms:modified xsi:type="dcterms:W3CDTF">2022-10-24T20:10:00Z</dcterms:modified>
</cp:coreProperties>
</file>