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23975" w14:paraId="2F85F6CE" w14:textId="77777777" w:rsidTr="001239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23975" w14:paraId="4996F5F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DCB6DB" w14:textId="3E324568" w:rsidR="00123975" w:rsidRDefault="00123975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drawing>
                      <wp:inline distT="0" distB="0" distL="0" distR="0" wp14:anchorId="038A99E7" wp14:editId="528B1F08">
                        <wp:extent cx="5715000" cy="2114550"/>
                        <wp:effectExtent l="0" t="0" r="0" b="0"/>
                        <wp:docPr id="11" name="Kép 11" descr="2021. Új év új tervekkel, lendülettel, optimizmussal és új lehetőségekkel! Együtt a Közönséggel!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 descr="2021. Új év új tervekkel, lendülettel, optimizmussal és új lehetőségekkel! Együtt a Közönséggel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23975" w14:paraId="322269AB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75FD801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2EEA682" w14:textId="77777777" w:rsidR="00123975" w:rsidRDefault="00123975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>2021. Új év új tervekkel, lendülettel, optimizmussal és új lehetőségekkel! Együtt a Közönséggel!</w:t>
                        </w:r>
                      </w:p>
                      <w:p w14:paraId="0876A4B8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>Kedves Közönségünk!</w:t>
                        </w:r>
                      </w:p>
                      <w:p w14:paraId="4A99D201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Szeretettel köszöntjük Önöket az új évben! Bízunk abban, hogy egy új kezdés, új lehetőségek tárháza lesz az előttünk álló év, valamint abban, hogy a felmerülő nehézségeken derűvel, hittel, szeretettel és sok csodás muzsikával tudunk majd EGYÜTT túllendülni.</w:t>
                        </w:r>
                      </w:p>
                      <w:p w14:paraId="0A1A3BD2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Reméljük, hogy velünk tartanak az idén is - egyelőre élő közvetítések segítségével, ugyanakkor bízva abban, hogy hamarosan újra muzsikálhatunk Önöknek a hangversenyteremben.</w:t>
                        </w:r>
                      </w:p>
                      <w:p w14:paraId="2B759765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Addig is számos alkalommal találkozhatnak a zenekarunkkal online, folyamatosan tájékoztatjuk Önöket arról, hogyan alakul a zenei programunk.</w:t>
                        </w:r>
                      </w:p>
                      <w:p w14:paraId="593DC8B2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>Számítunk Önre!</w:t>
                        </w:r>
                      </w:p>
                      <w:p w14:paraId="324927B0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  <w:p w14:paraId="3B84484E" w14:textId="25FF9339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773EE172" wp14:editId="164D13DC">
                              <wp:extent cx="723900" cy="228600"/>
                              <wp:effectExtent l="0" t="0" r="0" b="0"/>
                              <wp:docPr id="10" name="Kép 10" descr="Bővebben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3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CD6A91B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6D3C9E6F" w14:textId="77777777" w:rsidR="00123975" w:rsidRDefault="001239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975" w14:paraId="7769767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6614DD" w14:textId="54DAA9BC" w:rsidR="00123975" w:rsidRDefault="00123975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drawing>
                      <wp:inline distT="0" distB="0" distL="0" distR="0" wp14:anchorId="425BCAE6" wp14:editId="4146D15D">
                        <wp:extent cx="5715000" cy="2114550"/>
                        <wp:effectExtent l="0" t="0" r="0" b="0"/>
                        <wp:docPr id="9" name="Kép 9" descr="A magyar kultúra napja – 2021. január 22. péntek, 19.30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4" descr="A magyar kultúra napja – 2021. január 22. péntek, 19.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23975" w14:paraId="255AC4B5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A3B34DB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C6795D7" w14:textId="77777777" w:rsidR="00123975" w:rsidRDefault="00123975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>A magyar kultúra napja – 2021. január 22. péntek, 19.30</w:t>
                        </w:r>
                      </w:p>
                      <w:p w14:paraId="0CEC429C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 xml:space="preserve">Ünnepi hangverseny ingyenes élő közvetítése ősbemutatóval, zenei humorral. Ajánljuk mindenkinek ezt a koncertet, aki szereti a magyar zenét, és egy kis felvidításra, legalább lélekben táncra és zenei humorra vágyik a szürke téli napokban! Műsorunk megemlékezik Bartók Béla és Kodály Zoltán munkásságáról, tiszteleg közös értékeink előtt, és egy egészen friss zenei meglepetést is tartogat – zenei humor, vidám tánc és ősbemutató tanúi lehetnek egy estén. Izgalmas találkozás is egyben a hangverseny, a múlt és a jelen találkozik egy zenei műsorban – egy megemlékezéssel és három vidám hangulatú darabbal. A zenekar koncertmestere,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Bánfalvi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Zoltán hegedűművész már több alkalommal bemutatkozott zeneszerzőként, ez alkalommal művének ősbemutatója lesz, amelyet pici lánykája, Luca álmaitól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inspirálódva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komponált. Milyenek lehetnek egy baba álmai, pláne, ha kislányról van szó? Tartsanak velünk és megtudják! Az előadás a MÜPA és a Pannon Filharmonikusok koprodukciója. </w:t>
                        </w:r>
                        <w:hyperlink r:id="rId14" w:history="1">
                          <w:r>
                            <w:rPr>
                              <w:rStyle w:val="Hiperhivatkozs"/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IDE KATTINTVA</w:t>
                          </w:r>
                        </w:hyperlink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 xml:space="preserve"> további érdekességeket, információkat és a koncert online, lapozgatható műsorfüzetét olvashatják!</w:t>
                        </w:r>
                      </w:p>
                      <w:p w14:paraId="5EC4048E" w14:textId="3E47621A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5683B664" wp14:editId="3C12F4D5">
                              <wp:extent cx="723900" cy="228600"/>
                              <wp:effectExtent l="0" t="0" r="0" b="0"/>
                              <wp:docPr id="8" name="Kép 8" descr="Bővebben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5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0EFAA08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26391864" w14:textId="77777777" w:rsidR="00123975" w:rsidRDefault="001239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975" w14:paraId="0899AF0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F38229" w14:textId="5DB402E5" w:rsidR="00123975" w:rsidRDefault="00123975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lastRenderedPageBreak/>
                    <w:drawing>
                      <wp:inline distT="0" distB="0" distL="0" distR="0" wp14:anchorId="15F8F631" wp14:editId="3094F627">
                        <wp:extent cx="5715000" cy="2114550"/>
                        <wp:effectExtent l="0" t="0" r="0" b="0"/>
                        <wp:docPr id="7" name="Kép 7" descr="Tájékoztatás elmaradó koncertről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6" descr="Tájékoztatás elmaradó koncertrő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23975" w14:paraId="2D26E3E7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FD53656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1925A1B" w14:textId="77777777" w:rsidR="00123975" w:rsidRDefault="00123975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>Tájékoztatás elmaradó koncertről</w:t>
                        </w:r>
                      </w:p>
                      <w:p w14:paraId="2697A7FC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Tisztelt Bérleteseink számára az alábbi tájékoztatást adjuk a 2021. január 23. Pannonicum-bérletes Peer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Gynt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titka című hangversenyünkről:</w:t>
                        </w:r>
                      </w:p>
                      <w:p w14:paraId="231430C9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Mint bizonyára Önök előtt is ismert, sajnos a Magyar Kormány jelenlegi rendelkezései továbbra sem teszik lehetővé az élő koncertezést, ezért a Pannon Filharmonikusok az alábbi lehetőségeket ajánlja fel közönsége számára a </w:t>
                        </w:r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>2021. január 23-án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esedékes bérletes koncert esetében:</w:t>
                        </w:r>
                      </w:p>
                      <w:p w14:paraId="58A05860" w14:textId="77777777" w:rsidR="00123975" w:rsidRDefault="00123975" w:rsidP="00BF5B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 xml:space="preserve">az elmaradt koncertre eső bérlethányadot felajánlja, ezzel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támogatja  zenekarunkat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, vagy</w:t>
                        </w:r>
                      </w:p>
                      <w:p w14:paraId="1A6B2E0C" w14:textId="77777777" w:rsidR="00123975" w:rsidRDefault="00123975" w:rsidP="00BF5B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az elmaradt koncertre eső bérlethányadot visszaigényli</w:t>
                        </w:r>
                      </w:p>
                      <w:p w14:paraId="1CD24DAA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 fentiek értelmében az értesítéstől számított 60 napon belül, azaz </w:t>
                        </w:r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>legkésőbb 2021. március 11-ig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tudnak nyilatkozni a január 23-ra eső bérlethányadról, az erről szóló e-mailre válaszolva.</w:t>
                        </w:r>
                      </w:p>
                      <w:p w14:paraId="4AFA3B4A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  <w:p w14:paraId="7CC15920" w14:textId="7268EFEB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0B0983CE" wp14:editId="51A64319">
                              <wp:extent cx="723900" cy="228600"/>
                              <wp:effectExtent l="0" t="0" r="0" b="0"/>
                              <wp:docPr id="6" name="Kép 6" descr="Bővebben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7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0851943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4801D01C" w14:textId="77777777" w:rsidR="00123975" w:rsidRDefault="001239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975" w14:paraId="5157B6F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DD0FEB" w14:textId="7B694DC4" w:rsidR="00123975" w:rsidRDefault="00123975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lastRenderedPageBreak/>
                    <w:drawing>
                      <wp:inline distT="0" distB="0" distL="0" distR="0" wp14:anchorId="07122CB0" wp14:editId="20C68858">
                        <wp:extent cx="5715000" cy="2114550"/>
                        <wp:effectExtent l="0" t="0" r="0" b="0"/>
                        <wp:docPr id="5" name="Kép 5" descr="Rossini gála - Díjmentes élő közvetítés a Müpából 2021. január 29-én pénteken, 19.30 órától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8" descr="Rossini gála - Díjmentes élő közvetítés a Müpából 2021. január 29-én pénteken, 19.30 órátó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23975" w14:paraId="76F06764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DB85275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340332A" w14:textId="77777777" w:rsidR="00123975" w:rsidRDefault="00123975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 xml:space="preserve">Rossini gála - Díjmentes élő közvetítés a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</w:rPr>
                          <w:t>Müpából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</w:rPr>
                          <w:t xml:space="preserve"> 2021. január 29-én pénteken, 19.30 órától</w:t>
                        </w:r>
                      </w:p>
                      <w:p w14:paraId="50F791DF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Nagyszerű énekművészek, sziporkázó hangzás, zenei virtuozitás, gazdag érzelemábrázolás és a mély gondolatok egy estén. A hangversenyen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Gioachino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Rossini áll majd előttünk zeneszerzőként, méghozzá öt különböző operájának részleteivel. Afféle különös ínyencség ez a műsor, hiszen a színpadi cselekmény,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recitativók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és mellékszálak nem szakítják meg a méltán kedvelt tételeket, hanem azok szoros egymásutánban követik egymást. Nagyszerű művészek lépnek színpadra, Láng Dorottya mezzoszoprán, Kálmán Péter basszbariton, Horváth István tenor adják át a Rossini megálmodta érzelmeket a dalokon keresztül, vezényel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Nikolas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Nägele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p>
                      <w:p w14:paraId="44A3FA05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>Az előadás a MÜPA és a Pannon Filharmonikusok koprodukciója.</w:t>
                        </w:r>
                      </w:p>
                      <w:p w14:paraId="61BB72C6" w14:textId="786D1FF0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5F490DEA" wp14:editId="767EC589">
                              <wp:extent cx="723900" cy="228600"/>
                              <wp:effectExtent l="0" t="0" r="0" b="0"/>
                              <wp:docPr id="4" name="Kép 4" descr="Bővebben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9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F2EF16A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7FBB5924" w14:textId="77777777" w:rsidR="00123975" w:rsidRDefault="001239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975" w14:paraId="2A3CCAB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13B398" w14:textId="7CCC933C" w:rsidR="00123975" w:rsidRDefault="00123975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drawing>
                      <wp:inline distT="0" distB="0" distL="0" distR="0" wp14:anchorId="10A7A9C5" wp14:editId="5517600C">
                        <wp:extent cx="5715000" cy="2114550"/>
                        <wp:effectExtent l="0" t="0" r="0" b="0"/>
                        <wp:docPr id="3" name="Kép 3" descr="10 éves a Kodály Központ, a Pannon Filharmonikusok otthona, egy filmet készítettünk &quot;róla&quot;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0" descr="10 éves a Kodály Központ, a Pannon Filharmonikusok otthona, egy filmet készítettünk &quot;róla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23975" w14:paraId="5901B4D9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7DDA416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CECBFFA" w14:textId="77777777" w:rsidR="00123975" w:rsidRDefault="00123975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>10 éves a Kodály Központ, a Pannon Filharmonikusok otthona, egy filmet készítettünk "róla"</w:t>
                        </w:r>
                      </w:p>
                      <w:p w14:paraId="618DA772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Professzionális filmes eszközökkel, drónfelvételekkel, több kamerával, sok szeretettel és két elképesztő egyéniség közreműködésével készült a Kodály Központ titkait bemutató filmünk! Horváth Zsolttal, a Pannon Filharmonikusok igazgatójával és Keller Ferenccel, az épület vezető építész tervezőjével,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 Építészstúdió Kft. egyik tagjával járjuk be és járjuk körbe a központot. Tíz évvel ezelőtt kezdődött a két meghatározó egyéniség kapcsolata, az intenzív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>előkészítési, majd a tervezési, építési munkálatok során lassanként barátsággá változott a munkakapcsolat, a néző így igazán személyes, őszinte bepillantást nyerhet 10 év történetébe. A film a zenekar honlapjáról, YouTube-csatornájáról lesz ingyenesen elérhető. Filmpremier január 31-én, online!</w:t>
                        </w:r>
                      </w:p>
                      <w:p w14:paraId="125DA126" w14:textId="07144E78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0B28A34A" wp14:editId="2C7B08FB">
                              <wp:extent cx="723900" cy="228600"/>
                              <wp:effectExtent l="0" t="0" r="0" b="0"/>
                              <wp:docPr id="2" name="Kép 2" descr="Bővebben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1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CFBF563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3183D986" w14:textId="77777777" w:rsidR="00123975" w:rsidRDefault="001239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398A92" w14:textId="4D43F24D" w:rsidR="00123975" w:rsidRDefault="00123975">
            <w:pPr>
              <w:spacing w:after="240"/>
              <w:jc w:val="center"/>
              <w:rPr>
                <w:rFonts w:ascii="Verdana" w:hAnsi="Verdana"/>
                <w:color w:val="3D322D"/>
                <w:sz w:val="21"/>
                <w:szCs w:val="21"/>
              </w:rPr>
            </w:pPr>
            <w:r>
              <w:rPr>
                <w:rFonts w:ascii="Verdana" w:hAnsi="Verdana"/>
                <w:color w:val="3D322D"/>
                <w:sz w:val="21"/>
                <w:szCs w:val="21"/>
              </w:rPr>
              <w:lastRenderedPageBreak/>
              <w:t xml:space="preserve">Az Ezüstcsillanás évad kiemelt támogatója: </w:t>
            </w:r>
            <w:r>
              <w:rPr>
                <w:rFonts w:ascii="Verdana" w:hAnsi="Verdana"/>
                <w:noProof/>
                <w:color w:val="3D322D"/>
                <w:sz w:val="21"/>
                <w:szCs w:val="21"/>
              </w:rPr>
              <w:drawing>
                <wp:inline distT="0" distB="0" distL="0" distR="0" wp14:anchorId="310D149E" wp14:editId="65CB8F43">
                  <wp:extent cx="2857500" cy="8001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956B9" w14:textId="77777777" w:rsidR="002F38C7" w:rsidRDefault="002F38C7"/>
    <w:sectPr w:rsidR="002F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7400E"/>
    <w:multiLevelType w:val="multilevel"/>
    <w:tmpl w:val="46B8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75"/>
    <w:rsid w:val="00123975"/>
    <w:rsid w:val="002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C947"/>
  <w15:chartTrackingRefBased/>
  <w15:docId w15:val="{7D8CCC5C-795B-4E06-94EA-F4D003A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3975"/>
    <w:pPr>
      <w:spacing w:after="0" w:line="240" w:lineRule="auto"/>
    </w:pPr>
    <w:rPr>
      <w:rFonts w:ascii="Calibri" w:hAnsi="Calibri" w:cs="Calibri"/>
      <w:lang w:eastAsia="hu-HU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123975"/>
    <w:pPr>
      <w:spacing w:before="100" w:beforeAutospacing="1" w:after="100" w:afterAutospacing="1"/>
      <w:outlineLvl w:val="1"/>
    </w:pPr>
    <w:rPr>
      <w:color w:val="EC660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123975"/>
    <w:rPr>
      <w:rFonts w:ascii="Calibri" w:hAnsi="Calibri" w:cs="Calibri"/>
      <w:color w:val="EC660D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23975"/>
    <w:rPr>
      <w:strike w:val="0"/>
      <w:dstrike w:val="0"/>
      <w:color w:val="EC660D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12397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23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z.hu/" TargetMode="External"/><Relationship Id="rId13" Type="http://schemas.openxmlformats.org/officeDocument/2006/relationships/image" Target="cid:a2c5e2bfebd242fb1f72ecc1deca861e@swift.generated" TargetMode="External"/><Relationship Id="rId18" Type="http://schemas.openxmlformats.org/officeDocument/2006/relationships/image" Target="media/image5.jpeg"/><Relationship Id="rId26" Type="http://schemas.openxmlformats.org/officeDocument/2006/relationships/image" Target="cid:62cdba1dc7c734c26a2710f300a573d7@swift.generat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fz.hu/hir/2020-12-12/1231/a-kodaly-kozpont-kihozza-a-muveszbol-a-maximumot?itvi=1" TargetMode="External"/><Relationship Id="rId7" Type="http://schemas.openxmlformats.org/officeDocument/2006/relationships/image" Target="cid:face7f9f6e01718fb5197f963cee3de1@swift.generated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pfz.hu/koncert/1452/rossini-gala?itvi=1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cid:ebf334168fe4f516bb4b234ae0906041@swift.generated" TargetMode="External"/><Relationship Id="rId20" Type="http://schemas.openxmlformats.org/officeDocument/2006/relationships/hyperlink" Target="https://www.pfz.hu/koncert/1452/rossini-gal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fz.hu/koncert/1401/a-magyar-kultura-napja?itvi=1" TargetMode="External"/><Relationship Id="rId24" Type="http://schemas.openxmlformats.org/officeDocument/2006/relationships/hyperlink" Target="https://www.pfz.hu/hir/2020-12-12/1231/a-kodaly-kozpont-kihozza-a-muveszbol-a-maximumot" TargetMode="External"/><Relationship Id="rId5" Type="http://schemas.openxmlformats.org/officeDocument/2006/relationships/hyperlink" Target="https://www.pfz.hu/?itvi=1" TargetMode="External"/><Relationship Id="rId15" Type="http://schemas.openxmlformats.org/officeDocument/2006/relationships/image" Target="media/image4.jpeg"/><Relationship Id="rId23" Type="http://schemas.openxmlformats.org/officeDocument/2006/relationships/image" Target="cid:308e34a9e5506fae7d27c86829541bf3@swift.generated" TargetMode="External"/><Relationship Id="rId28" Type="http://schemas.openxmlformats.org/officeDocument/2006/relationships/theme" Target="theme/theme1.xml"/><Relationship Id="rId10" Type="http://schemas.openxmlformats.org/officeDocument/2006/relationships/image" Target="cid:26ddb083f18eef64352009a68899f766@swift.generated" TargetMode="External"/><Relationship Id="rId19" Type="http://schemas.openxmlformats.org/officeDocument/2006/relationships/image" Target="cid:78daacce3f85cb657b8300fa31dc8d60@swift.generate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pfz.hu/koncert/1401/a-magyar-kultura-napja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3861</Characters>
  <Application>Microsoft Office Word</Application>
  <DocSecurity>0</DocSecurity>
  <Lines>32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2021-01-25T08:42:00Z</dcterms:created>
  <dcterms:modified xsi:type="dcterms:W3CDTF">2021-01-25T08:44:00Z</dcterms:modified>
</cp:coreProperties>
</file>